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concuadrcula"/>
        <w:tblW w:w="14596" w:type="dxa"/>
        <w:tblLayout w:type="fixed"/>
        <w:tblLook w:val="04A0" w:firstRow="1" w:lastRow="0" w:firstColumn="1" w:lastColumn="0" w:noHBand="0" w:noVBand="1"/>
      </w:tblPr>
      <w:tblGrid>
        <w:gridCol w:w="467"/>
        <w:gridCol w:w="4206"/>
        <w:gridCol w:w="2268"/>
        <w:gridCol w:w="851"/>
        <w:gridCol w:w="1701"/>
        <w:gridCol w:w="1701"/>
        <w:gridCol w:w="1701"/>
        <w:gridCol w:w="1701"/>
      </w:tblGrid>
      <w:tr w:rsidR="002F1902" w:rsidTr="00DC1E96">
        <w:trPr>
          <w:tblHeader/>
        </w:trPr>
        <w:tc>
          <w:tcPr>
            <w:tcW w:w="467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No.</w:t>
            </w:r>
          </w:p>
        </w:tc>
        <w:tc>
          <w:tcPr>
            <w:tcW w:w="4206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Concepto</w:t>
            </w:r>
          </w:p>
        </w:tc>
        <w:tc>
          <w:tcPr>
            <w:tcW w:w="2268" w:type="dxa"/>
            <w:vMerge w:val="restart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Documento</w:t>
            </w:r>
          </w:p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Fuente</w:t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:rsidR="002F1902" w:rsidRPr="000C0D0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0C0D0B">
              <w:rPr>
                <w:rFonts w:ascii="Noto Sans Light" w:hAnsi="Noto Sans Light" w:cs="Noto Sans Light"/>
                <w:b/>
                <w:sz w:val="16"/>
                <w:szCs w:val="16"/>
              </w:rPr>
              <w:t>Periodi</w:t>
            </w:r>
            <w:proofErr w:type="spellEnd"/>
            <w:r w:rsidRPr="000C0D0B">
              <w:rPr>
                <w:rFonts w:ascii="Noto Sans Light" w:hAnsi="Noto Sans Light" w:cs="Noto Sans Light"/>
                <w:b/>
                <w:sz w:val="16"/>
                <w:szCs w:val="16"/>
              </w:rPr>
              <w:t>-</w:t>
            </w:r>
          </w:p>
          <w:p w:rsidR="002F1902" w:rsidRPr="000C0D0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proofErr w:type="spellStart"/>
            <w:r w:rsidRPr="000C0D0B">
              <w:rPr>
                <w:rFonts w:ascii="Noto Sans Light" w:hAnsi="Noto Sans Light" w:cs="Noto Sans Light"/>
                <w:b/>
                <w:sz w:val="16"/>
                <w:szCs w:val="16"/>
              </w:rPr>
              <w:t>cidad</w:t>
            </w:r>
            <w:proofErr w:type="spellEnd"/>
          </w:p>
        </w:tc>
        <w:tc>
          <w:tcPr>
            <w:tcW w:w="6804" w:type="dxa"/>
            <w:gridSpan w:val="4"/>
            <w:shd w:val="clear" w:color="auto" w:fill="D9D9D9" w:themeFill="background1" w:themeFillShade="D9"/>
          </w:tcPr>
          <w:p w:rsidR="002F1902" w:rsidRPr="000C0D0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b/>
                <w:sz w:val="16"/>
                <w:szCs w:val="16"/>
              </w:rPr>
              <w:t>Registro</w:t>
            </w:r>
          </w:p>
        </w:tc>
      </w:tr>
      <w:tr w:rsidR="002F1902" w:rsidTr="00DC1E96">
        <w:trPr>
          <w:tblHeader/>
        </w:trPr>
        <w:tc>
          <w:tcPr>
            <w:tcW w:w="467" w:type="dxa"/>
            <w:vMerge/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2F1902" w:rsidRPr="000C0D0B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0C0D0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Contable </w:t>
            </w:r>
          </w:p>
        </w:tc>
        <w:tc>
          <w:tcPr>
            <w:tcW w:w="3402" w:type="dxa"/>
            <w:gridSpan w:val="2"/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2F1902">
              <w:rPr>
                <w:rFonts w:ascii="Noto Sans Light" w:hAnsi="Noto Sans Light" w:cs="Noto Sans Light"/>
                <w:b/>
                <w:sz w:val="16"/>
                <w:szCs w:val="16"/>
              </w:rPr>
              <w:t>P</w:t>
            </w: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>resupuestario</w:t>
            </w:r>
          </w:p>
        </w:tc>
      </w:tr>
      <w:tr w:rsidR="00DC1E96" w:rsidTr="00E21A20">
        <w:trPr>
          <w:tblHeader/>
        </w:trPr>
        <w:tc>
          <w:tcPr>
            <w:tcW w:w="467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DC1E96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</w:p>
        </w:tc>
        <w:tc>
          <w:tcPr>
            <w:tcW w:w="851" w:type="dxa"/>
            <w:vMerge/>
            <w:tcBorders>
              <w:bottom w:val="single" w:sz="4" w:space="0" w:color="auto"/>
            </w:tcBorders>
          </w:tcPr>
          <w:p w:rsidR="002F1902" w:rsidRPr="000C0D0B" w:rsidRDefault="002F1902" w:rsidP="002F1902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0C0D0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0C0D0B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Cargo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:rsidR="002F1902" w:rsidRPr="002F1902" w:rsidRDefault="002F1902" w:rsidP="002F1902">
            <w:pPr>
              <w:jc w:val="center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>
              <w:rPr>
                <w:rFonts w:ascii="Noto Sans Light" w:hAnsi="Noto Sans Light" w:cs="Noto Sans Light"/>
                <w:b/>
                <w:sz w:val="16"/>
                <w:szCs w:val="16"/>
              </w:rPr>
              <w:t xml:space="preserve">Abono </w:t>
            </w:r>
          </w:p>
        </w:tc>
      </w:tr>
      <w:tr w:rsidR="009C417C" w:rsidTr="0058639E">
        <w:tc>
          <w:tcPr>
            <w:tcW w:w="467" w:type="dxa"/>
            <w:tcBorders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bottom w:val="nil"/>
            </w:tcBorders>
          </w:tcPr>
          <w:p w:rsidR="009C417C" w:rsidRPr="009C417C" w:rsidRDefault="009C417C" w:rsidP="009C417C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Por la incorporación en cuentas de orden de los bienes arqueológicos, artísticos, históricos y áreas naturales protegidas, a su valor histórico, catastral, de avalúo, o en caso de no contar con alguno de los mencionados, a valor simbólico.</w:t>
            </w:r>
          </w:p>
        </w:tc>
        <w:tc>
          <w:tcPr>
            <w:tcW w:w="2268" w:type="dxa"/>
            <w:tcBorders>
              <w:bottom w:val="nil"/>
            </w:tcBorders>
          </w:tcPr>
          <w:p w:rsidR="009C417C" w:rsidRPr="009C417C" w:rsidRDefault="009C417C" w:rsidP="009C417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Folios reales; escritura pública; actas, oficios o acuerdos de destino o de uso, avalúo o documentos equivalentes.</w:t>
            </w:r>
          </w:p>
        </w:tc>
        <w:tc>
          <w:tcPr>
            <w:tcW w:w="851" w:type="dxa"/>
            <w:tcBorders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bottom w:val="nil"/>
            </w:tcBorders>
          </w:tcPr>
          <w:p w:rsidR="009C417C" w:rsidRPr="000C0D0B" w:rsidRDefault="009C417C" w:rsidP="009C417C">
            <w:pPr>
              <w:widowControl w:val="0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C417C" w:rsidRPr="000C0D0B" w:rsidRDefault="009C417C" w:rsidP="009C417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C417C" w:rsidRPr="009C417C" w:rsidRDefault="009C417C" w:rsidP="009C417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:rsidR="009C417C" w:rsidRPr="009C417C" w:rsidRDefault="009C417C" w:rsidP="009C417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C417C" w:rsidTr="002C3FB1">
        <w:tc>
          <w:tcPr>
            <w:tcW w:w="467" w:type="dxa"/>
            <w:tcBorders>
              <w:top w:val="nil"/>
              <w:bottom w:val="nil"/>
            </w:tcBorders>
          </w:tcPr>
          <w:p w:rsidR="009C417C" w:rsidRPr="000C0D0B" w:rsidRDefault="00CD2710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pStyle w:val="Prrafodelista"/>
              <w:numPr>
                <w:ilvl w:val="0"/>
                <w:numId w:val="7"/>
              </w:numPr>
              <w:ind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Arqueológicos.</w:t>
            </w:r>
          </w:p>
          <w:p w:rsidR="009C417C" w:rsidRPr="009C417C" w:rsidRDefault="009C417C" w:rsidP="009C417C">
            <w:pPr>
              <w:tabs>
                <w:tab w:val="left" w:pos="971"/>
              </w:tabs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7.6.8.1</w:t>
            </w:r>
          </w:p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Bienes Arqueológicos en Custodia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7.6.9.1</w:t>
            </w:r>
          </w:p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Custodia de Bienes Arqueológicos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C417C" w:rsidTr="00790FFE">
        <w:tc>
          <w:tcPr>
            <w:tcW w:w="467" w:type="dxa"/>
            <w:tcBorders>
              <w:top w:val="nil"/>
              <w:bottom w:val="nil"/>
            </w:tcBorders>
          </w:tcPr>
          <w:p w:rsidR="009C417C" w:rsidRPr="000C0D0B" w:rsidRDefault="00CD2710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pStyle w:val="Prrafodelista"/>
              <w:numPr>
                <w:ilvl w:val="0"/>
                <w:numId w:val="7"/>
              </w:numPr>
              <w:ind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Artísticos.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7.6.8.2</w:t>
            </w:r>
          </w:p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Bienes Artísticos en Custodia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7.6.9.2</w:t>
            </w:r>
          </w:p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Custodia de Bienes Artísticos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widowControl w:val="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C417C" w:rsidTr="004639B8">
        <w:tc>
          <w:tcPr>
            <w:tcW w:w="467" w:type="dxa"/>
            <w:tcBorders>
              <w:top w:val="nil"/>
              <w:bottom w:val="nil"/>
            </w:tcBorders>
          </w:tcPr>
          <w:p w:rsidR="009C417C" w:rsidRPr="000C0D0B" w:rsidRDefault="00CD2710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Históricos.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7.6.8.3</w:t>
            </w:r>
          </w:p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Bienes Históricos en Custodia</w:t>
            </w:r>
          </w:p>
        </w:tc>
        <w:tc>
          <w:tcPr>
            <w:tcW w:w="1701" w:type="dxa"/>
            <w:tcBorders>
              <w:top w:val="nil"/>
              <w:bottom w:val="nil"/>
            </w:tcBorders>
            <w:shd w:val="clear" w:color="auto" w:fill="auto"/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7.6.9.3</w:t>
            </w:r>
          </w:p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lastRenderedPageBreak/>
              <w:t>Custodia de Bienes Históricos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spacing w:after="6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C417C" w:rsidTr="00B572F3">
        <w:tc>
          <w:tcPr>
            <w:tcW w:w="467" w:type="dxa"/>
            <w:tcBorders>
              <w:top w:val="nil"/>
              <w:bottom w:val="nil"/>
            </w:tcBorders>
          </w:tcPr>
          <w:p w:rsidR="009C417C" w:rsidRPr="000C0D0B" w:rsidRDefault="00CD2710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1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pStyle w:val="Prrafodelista"/>
              <w:numPr>
                <w:ilvl w:val="0"/>
                <w:numId w:val="7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Áreas Naturales Protegidas.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7.6.8.4</w:t>
            </w:r>
          </w:p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Áreas y Parques Nacionales Protegidos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7.6.9.4</w:t>
            </w:r>
          </w:p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Custodia de Áreas y Parques Nacionales Protegidos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spacing w:after="6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9C417C" w:rsidTr="002C3FB1">
        <w:tc>
          <w:tcPr>
            <w:tcW w:w="467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9C417C">
              <w:rPr>
                <w:rFonts w:ascii="Noto Sans Light" w:hAnsi="Noto Sans Light" w:cs="Noto Sans Light"/>
                <w:b/>
                <w:sz w:val="16"/>
                <w:szCs w:val="16"/>
              </w:rPr>
              <w:t>Valor Simbólico: Es aquél que se asigna a los bienes arqueológicos, artísticos, históricos y naturales con el valor de una unidad monetaria (un peso), ya que por sus características no es posible de cuantificar.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spacing w:after="60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spacing w:after="6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0C0D0B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spacing w:after="60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9C417C" w:rsidRPr="009C417C" w:rsidRDefault="009C417C" w:rsidP="009C417C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D2710" w:rsidTr="009C4FFD">
        <w:tc>
          <w:tcPr>
            <w:tcW w:w="467" w:type="dxa"/>
            <w:tcBorders>
              <w:top w:val="nil"/>
              <w:bottom w:val="nil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D2710" w:rsidRPr="00CD2710" w:rsidRDefault="00CD2710" w:rsidP="00CD2710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>Por la desincorporación de los bienes arqueológicos, artísticos, históricos y áreas naturales protegidas, a su valor histórico, catastral, de avalúo o en caso de no contar con alguno de los mencionados, a valor simbólico, cuando el destino o custodia se asigne a otro ente público.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2710" w:rsidRPr="00CD2710" w:rsidRDefault="00CD2710" w:rsidP="00CD271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CD2710">
              <w:rPr>
                <w:rFonts w:ascii="Noto Sans Light" w:hAnsi="Noto Sans Light" w:cs="Noto Sans Light"/>
                <w:sz w:val="16"/>
                <w:szCs w:val="16"/>
              </w:rPr>
              <w:t>Folios reales; escritura pública; actas, oficios o acuerdos de destino o de uso, avalúo o documentos equivalentes.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2F1902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2F1902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D2710" w:rsidTr="009C4FF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CD2710" w:rsidRPr="000C0D0B" w:rsidRDefault="00012F2B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CD2710" w:rsidRPr="009C417C" w:rsidRDefault="00CD2710" w:rsidP="00CD2710">
            <w:pPr>
              <w:pStyle w:val="Prrafodelista"/>
              <w:numPr>
                <w:ilvl w:val="0"/>
                <w:numId w:val="8"/>
              </w:numPr>
              <w:ind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Arqueológicos.</w:t>
            </w:r>
          </w:p>
          <w:p w:rsidR="00CD2710" w:rsidRDefault="00CD2710" w:rsidP="00CD2710">
            <w:pPr>
              <w:tabs>
                <w:tab w:val="left" w:pos="971"/>
              </w:tabs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C4FFD" w:rsidRDefault="009C4FFD" w:rsidP="00CD2710">
            <w:pPr>
              <w:tabs>
                <w:tab w:val="left" w:pos="971"/>
              </w:tabs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C4FFD" w:rsidRDefault="009C4FFD" w:rsidP="00CD2710">
            <w:pPr>
              <w:tabs>
                <w:tab w:val="left" w:pos="971"/>
              </w:tabs>
              <w:rPr>
                <w:rFonts w:ascii="Noto Sans Light" w:hAnsi="Noto Sans Light" w:cs="Noto Sans Light"/>
                <w:sz w:val="16"/>
                <w:szCs w:val="16"/>
              </w:rPr>
            </w:pPr>
          </w:p>
          <w:p w:rsidR="009C4FFD" w:rsidRPr="009C417C" w:rsidRDefault="009C4FFD" w:rsidP="00CD2710">
            <w:pPr>
              <w:tabs>
                <w:tab w:val="left" w:pos="971"/>
              </w:tabs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CD2710" w:rsidRPr="002F1902" w:rsidRDefault="00CD2710" w:rsidP="00CD271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CD2710" w:rsidRPr="000C0D0B" w:rsidRDefault="00CD2710" w:rsidP="00CD271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7.6.9.1</w:t>
            </w:r>
          </w:p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Custodia de Bienes Arqueológicos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7.6.8.1</w:t>
            </w:r>
          </w:p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Bienes Arqueológicos en Custodia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D2710" w:rsidRPr="002F1902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CD2710" w:rsidRPr="002F1902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D2710" w:rsidTr="009C4FFD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CD2710" w:rsidRPr="000C0D0B" w:rsidRDefault="00012F2B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CD2710" w:rsidRPr="009C417C" w:rsidRDefault="00CD2710" w:rsidP="00CD2710">
            <w:pPr>
              <w:pStyle w:val="Prrafodelista"/>
              <w:numPr>
                <w:ilvl w:val="0"/>
                <w:numId w:val="8"/>
              </w:numPr>
              <w:ind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Artísticos.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CD2710" w:rsidRPr="002F1902" w:rsidRDefault="00CD2710" w:rsidP="00CD271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CD2710" w:rsidRPr="000C0D0B" w:rsidRDefault="00CD2710" w:rsidP="00CD271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7.6.9.2</w:t>
            </w:r>
          </w:p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Custodia de Bienes Artísticos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7.6.8.2</w:t>
            </w:r>
          </w:p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Bienes Artísticos en Custodia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D2710" w:rsidRPr="002F1902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CD2710" w:rsidRPr="002F1902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D2710" w:rsidTr="007C6F6A">
        <w:tc>
          <w:tcPr>
            <w:tcW w:w="467" w:type="dxa"/>
            <w:tcBorders>
              <w:top w:val="nil"/>
              <w:bottom w:val="nil"/>
            </w:tcBorders>
          </w:tcPr>
          <w:p w:rsidR="00CD2710" w:rsidRPr="000C0D0B" w:rsidRDefault="00012F2B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D2710" w:rsidRPr="009C417C" w:rsidRDefault="00CD2710" w:rsidP="00CD2710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Históricos.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2710" w:rsidRPr="002F1902" w:rsidRDefault="00CD2710" w:rsidP="00CD271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2710" w:rsidRPr="000C0D0B" w:rsidRDefault="00CD2710" w:rsidP="00CD271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7.6.9.3</w:t>
            </w:r>
          </w:p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Custodia de Bienes Históricos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7.6.8.3</w:t>
            </w:r>
          </w:p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Bienes Históricos en Custodia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2F1902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2F1902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CD2710" w:rsidTr="00E21A20">
        <w:tc>
          <w:tcPr>
            <w:tcW w:w="467" w:type="dxa"/>
            <w:tcBorders>
              <w:top w:val="nil"/>
              <w:bottom w:val="nil"/>
            </w:tcBorders>
          </w:tcPr>
          <w:p w:rsidR="00CD2710" w:rsidRPr="000C0D0B" w:rsidRDefault="00012F2B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2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CD2710" w:rsidRPr="009C417C" w:rsidRDefault="00CD2710" w:rsidP="00CD2710">
            <w:pPr>
              <w:pStyle w:val="Prrafodelista"/>
              <w:numPr>
                <w:ilvl w:val="0"/>
                <w:numId w:val="8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9C417C">
              <w:rPr>
                <w:rFonts w:ascii="Noto Sans Light" w:hAnsi="Noto Sans Light" w:cs="Noto Sans Light"/>
                <w:sz w:val="16"/>
                <w:szCs w:val="16"/>
              </w:rPr>
              <w:t>Áreas Naturales Protegidas.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CD2710" w:rsidRPr="002F1902" w:rsidRDefault="00CD2710" w:rsidP="00CD2710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CD2710" w:rsidRPr="000C0D0B" w:rsidRDefault="00CD2710" w:rsidP="00CD2710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7.6.9.4</w:t>
            </w:r>
          </w:p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Custodia de Áreas y Parques Nacionales Protegidos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7.6.8.4</w:t>
            </w:r>
          </w:p>
          <w:p w:rsidR="00CD2710" w:rsidRPr="000C0D0B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Áreas y Parques Nacionales Protegidos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2F1902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CD2710" w:rsidRPr="002F1902" w:rsidRDefault="00CD2710" w:rsidP="00CD271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D47700" w:rsidTr="00E21A20">
        <w:tc>
          <w:tcPr>
            <w:tcW w:w="467" w:type="dxa"/>
            <w:tcBorders>
              <w:top w:val="nil"/>
              <w:bottom w:val="nil"/>
            </w:tcBorders>
          </w:tcPr>
          <w:p w:rsidR="00D47700" w:rsidRPr="000C0D0B" w:rsidRDefault="00D47700" w:rsidP="00D47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D47700" w:rsidRPr="00D47700" w:rsidRDefault="00D47700" w:rsidP="00D47700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Por la baja de bienes arqueológicos, artísticos e históricos, al valor de registro inicial, cuando ocurra un siniestro total o en caso de robo, no sea posible su recuperación.</w:t>
            </w:r>
          </w:p>
          <w:p w:rsidR="00D47700" w:rsidRPr="00BE4D03" w:rsidRDefault="00D47700" w:rsidP="00D47700">
            <w:pPr>
              <w:ind w:left="57" w:right="57"/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BE4D03">
              <w:rPr>
                <w:rFonts w:ascii="Noto Sans Light" w:hAnsi="Noto Sans Light" w:cs="Noto Sans Light"/>
                <w:b/>
                <w:sz w:val="16"/>
                <w:szCs w:val="16"/>
              </w:rPr>
              <w:t>Se deberá reflejar, en su caso el registro por las responsabilidades conforme a la Guía No. 22 Responsabilidades, a valor actualizado o de reposición.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D47700" w:rsidRPr="00D47700" w:rsidRDefault="00D47700" w:rsidP="00D47700">
            <w:pPr>
              <w:ind w:left="57"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.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D47700" w:rsidRPr="000C0D0B" w:rsidRDefault="00D47700" w:rsidP="00D47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47700" w:rsidRPr="000C0D0B" w:rsidRDefault="00D47700" w:rsidP="00D47700">
            <w:pPr>
              <w:ind w:left="57" w:right="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47700" w:rsidRPr="000C0D0B" w:rsidRDefault="00D47700" w:rsidP="00D47700">
            <w:pPr>
              <w:ind w:left="-57" w:right="-57"/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47700" w:rsidRPr="002F1902" w:rsidRDefault="00D47700" w:rsidP="00D47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D47700" w:rsidRPr="002F1902" w:rsidRDefault="00D47700" w:rsidP="00D47700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E4D03" w:rsidTr="00E21A20">
        <w:tc>
          <w:tcPr>
            <w:tcW w:w="467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E4D03" w:rsidRPr="00D47700" w:rsidRDefault="00BE4D03" w:rsidP="00BE4D0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Arqueológicos.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E4D03" w:rsidRPr="00D47700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 xml:space="preserve">Folios reales, escritura pública; actas, oficios o acuerdos de destino, de uso, o documentos equivalentes, denuncia ante el Ministerio Público, </w:t>
            </w:r>
            <w:proofErr w:type="spellStart"/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fincamiento</w:t>
            </w:r>
            <w:proofErr w:type="spellEnd"/>
            <w:r w:rsidRPr="00D47700">
              <w:rPr>
                <w:rFonts w:ascii="Noto Sans Light" w:hAnsi="Noto Sans Light" w:cs="Noto Sans Light"/>
                <w:sz w:val="16"/>
                <w:szCs w:val="16"/>
              </w:rPr>
              <w:t xml:space="preserve"> de responsabilidad o procedimiento administrativo emitido por la autoridad competente</w:t>
            </w: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Frecuente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7.6.9.1</w:t>
            </w:r>
          </w:p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Custodia de Bienes Arqueológicos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7.6.8.1</w:t>
            </w:r>
          </w:p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Bienes Arqueológicos en Custodia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E4D03" w:rsidTr="009C4FFD">
        <w:tc>
          <w:tcPr>
            <w:tcW w:w="467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3</w:t>
            </w: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E4D03" w:rsidRPr="00D47700" w:rsidRDefault="00BE4D03" w:rsidP="00BE4D0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Artísticos.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E4D03" w:rsidRPr="00D47700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7.6.9.2</w:t>
            </w:r>
          </w:p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Custodia de Bienes Artísticos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7.6.8.2</w:t>
            </w:r>
          </w:p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Bienes Artísticos en Custodia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E4D03" w:rsidTr="009C4FFD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BE4D03" w:rsidRPr="00D47700" w:rsidRDefault="00BE4D03" w:rsidP="00BE4D0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Históricos.</w:t>
            </w: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E4D03" w:rsidRPr="00D47700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7.6.9.3</w:t>
            </w:r>
          </w:p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Custodia de Bienes Históricos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7.6.8.3</w:t>
            </w:r>
          </w:p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Bienes Históricos en Custodia</w:t>
            </w: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E4D03" w:rsidTr="009C4FFD">
        <w:tc>
          <w:tcPr>
            <w:tcW w:w="467" w:type="dxa"/>
            <w:tcBorders>
              <w:top w:val="single" w:sz="4" w:space="0" w:color="auto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single" w:sz="4" w:space="0" w:color="auto"/>
              <w:bottom w:val="nil"/>
            </w:tcBorders>
          </w:tcPr>
          <w:p w:rsidR="00BE4D03" w:rsidRPr="00D47700" w:rsidRDefault="00BE4D03" w:rsidP="00BE4D03">
            <w:pPr>
              <w:pStyle w:val="Prrafodelista"/>
              <w:numPr>
                <w:ilvl w:val="0"/>
                <w:numId w:val="13"/>
              </w:num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  <w:r w:rsidRPr="00D47700">
              <w:rPr>
                <w:rFonts w:ascii="Noto Sans Light" w:hAnsi="Noto Sans Light" w:cs="Noto Sans Light"/>
                <w:sz w:val="16"/>
                <w:szCs w:val="16"/>
              </w:rPr>
              <w:t>Áreas naturales Protegidas</w:t>
            </w:r>
          </w:p>
        </w:tc>
        <w:tc>
          <w:tcPr>
            <w:tcW w:w="2268" w:type="dxa"/>
            <w:tcBorders>
              <w:top w:val="single" w:sz="4" w:space="0" w:color="auto"/>
              <w:bottom w:val="nil"/>
            </w:tcBorders>
          </w:tcPr>
          <w:p w:rsidR="00BE4D03" w:rsidRPr="00D47700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7.6.9.4</w:t>
            </w:r>
          </w:p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Custodia de Áreas y Parques Nacionales Protegidos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7.6.8.4</w:t>
            </w:r>
          </w:p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r w:rsidRPr="000C0D0B">
              <w:rPr>
                <w:rFonts w:ascii="Noto Sans Light" w:hAnsi="Noto Sans Light" w:cs="Noto Sans Light"/>
                <w:sz w:val="16"/>
                <w:szCs w:val="16"/>
              </w:rPr>
              <w:t>Áreas y Parques Nacionales Protegidos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E4D03" w:rsidTr="00E21A20">
        <w:tc>
          <w:tcPr>
            <w:tcW w:w="467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E4D03" w:rsidRPr="00D47700" w:rsidRDefault="00BE4D03" w:rsidP="00BE4D03">
            <w:pPr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47700">
              <w:rPr>
                <w:rFonts w:ascii="Noto Sans Light" w:hAnsi="Noto Sans Light" w:cs="Noto Sans Light"/>
                <w:b/>
                <w:sz w:val="16"/>
                <w:szCs w:val="16"/>
              </w:rPr>
              <w:t>NOTAS:</w:t>
            </w:r>
          </w:p>
          <w:p w:rsidR="00BE4D03" w:rsidRPr="00D47700" w:rsidRDefault="00BE4D03" w:rsidP="00BE4D03">
            <w:pPr>
              <w:pStyle w:val="Prrafodelista"/>
              <w:numPr>
                <w:ilvl w:val="0"/>
                <w:numId w:val="10"/>
              </w:numPr>
              <w:ind w:left="0" w:hanging="357"/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47700">
              <w:rPr>
                <w:rFonts w:ascii="Noto Sans Light" w:hAnsi="Noto Sans Light" w:cs="Noto Sans Light"/>
                <w:b/>
                <w:sz w:val="16"/>
                <w:szCs w:val="16"/>
              </w:rPr>
              <w:t>Aquellos bienes arqueológicos, artísticos, históricos y naturales protegidos que estén registrados en cuentas de Activo Fijo antes de la emisión de la presente guía, deberán permanecer en dichas cuentas y adicionalmente reflejarse para su control en las cuentas de orden establecidas en esta Guía.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E4D03" w:rsidRPr="00D47700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pStyle w:val="Encabezado"/>
              <w:spacing w:line="240" w:lineRule="atLeast"/>
              <w:jc w:val="right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E4D03" w:rsidTr="00E21A20">
        <w:tc>
          <w:tcPr>
            <w:tcW w:w="467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E4D03" w:rsidRPr="00D47700" w:rsidRDefault="00BE4D03" w:rsidP="00BE4D03">
            <w:pPr>
              <w:numPr>
                <w:ilvl w:val="0"/>
                <w:numId w:val="11"/>
              </w:numPr>
              <w:ind w:left="0"/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47700">
              <w:rPr>
                <w:rFonts w:ascii="Noto Sans Light" w:hAnsi="Noto Sans Light" w:cs="Noto Sans Light"/>
                <w:b/>
                <w:sz w:val="16"/>
                <w:szCs w:val="16"/>
              </w:rPr>
              <w:t>El inventario físico de los bienes arqueológicos, artísticos, históricos y áreas naturales protegidas, deberá coincidir con los saldos del auxiliar contable en cuentas de orden, el cual podrá reflejar el valor de avalúo o el valor simbólico (una unidad monetaria, un peso) y formará parte de la integración del Libro de Inventario y Balances.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E4D03" w:rsidRPr="00D47700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pStyle w:val="Encabezado"/>
              <w:spacing w:line="240" w:lineRule="atLeast"/>
              <w:jc w:val="right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E4D03" w:rsidTr="00E21A20">
        <w:tc>
          <w:tcPr>
            <w:tcW w:w="467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E4D03" w:rsidRPr="00D47700" w:rsidRDefault="00BE4D03" w:rsidP="00BE4D03">
            <w:pPr>
              <w:numPr>
                <w:ilvl w:val="0"/>
                <w:numId w:val="12"/>
              </w:numPr>
              <w:ind w:left="0"/>
              <w:jc w:val="both"/>
              <w:rPr>
                <w:rFonts w:ascii="Noto Sans Light" w:hAnsi="Noto Sans Light" w:cs="Noto Sans Light"/>
                <w:b/>
                <w:sz w:val="16"/>
                <w:szCs w:val="16"/>
              </w:rPr>
            </w:pPr>
            <w:r w:rsidRPr="00D47700">
              <w:rPr>
                <w:rFonts w:ascii="Noto Sans Light" w:hAnsi="Noto Sans Light" w:cs="Noto Sans Light"/>
                <w:b/>
                <w:sz w:val="16"/>
                <w:szCs w:val="16"/>
              </w:rPr>
              <w:t>Esta guía se elaboró con base en los “Lineamientos para el registro auxiliar sujeto a inventario de bienes arqueológicos, artísticos e históricos bajo custodia de los entes públicos”, publicados en el DOF el 15 de agosto de 2012 por el CONAC.</w:t>
            </w: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E4D03" w:rsidRPr="00D47700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pStyle w:val="Encabezado"/>
              <w:spacing w:line="240" w:lineRule="atLeast"/>
              <w:jc w:val="right"/>
              <w:rPr>
                <w:rFonts w:ascii="Noto Sans Light" w:eastAsia="Times New Roman" w:hAnsi="Noto Sans Light" w:cs="Noto Sans Light"/>
                <w:sz w:val="16"/>
                <w:szCs w:val="16"/>
                <w:lang w:val="es-ES" w:eastAsia="es-ES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F1902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E4D03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E4D03" w:rsidRPr="002C3FB1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E4D03" w:rsidRPr="002F1902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C3FB1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C3FB1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E4D03" w:rsidRPr="002C3FB1" w:rsidTr="002C3FB1">
        <w:tc>
          <w:tcPr>
            <w:tcW w:w="467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  <w:bookmarkStart w:id="0" w:name="_GoBack"/>
            <w:bookmarkEnd w:id="0"/>
          </w:p>
        </w:tc>
        <w:tc>
          <w:tcPr>
            <w:tcW w:w="4206" w:type="dxa"/>
            <w:tcBorders>
              <w:top w:val="nil"/>
              <w:bottom w:val="nil"/>
            </w:tcBorders>
          </w:tcPr>
          <w:p w:rsidR="00BE4D03" w:rsidRPr="002C3FB1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BE4D03" w:rsidRPr="002C3FB1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C3FB1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BE4D03" w:rsidRPr="002C3FB1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  <w:tr w:rsidR="00BE4D03" w:rsidRPr="002C3FB1" w:rsidTr="007C6F6A">
        <w:tc>
          <w:tcPr>
            <w:tcW w:w="467" w:type="dxa"/>
            <w:tcBorders>
              <w:top w:val="nil"/>
              <w:bottom w:val="single" w:sz="4" w:space="0" w:color="auto"/>
            </w:tcBorders>
          </w:tcPr>
          <w:p w:rsidR="00BE4D03" w:rsidRPr="002C3FB1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4206" w:type="dxa"/>
            <w:tcBorders>
              <w:top w:val="nil"/>
              <w:bottom w:val="single" w:sz="4" w:space="0" w:color="auto"/>
            </w:tcBorders>
          </w:tcPr>
          <w:p w:rsidR="00BE4D03" w:rsidRPr="006E4ACE" w:rsidRDefault="00BE4D03" w:rsidP="00BE4D03">
            <w:pPr>
              <w:spacing w:before="120"/>
              <w:ind w:right="57"/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BE4D03" w:rsidRPr="002C3FB1" w:rsidRDefault="00BE4D03" w:rsidP="00BE4D03">
            <w:pPr>
              <w:jc w:val="both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851" w:type="dxa"/>
            <w:tcBorders>
              <w:top w:val="nil"/>
              <w:bottom w:val="single" w:sz="4" w:space="0" w:color="auto"/>
            </w:tcBorders>
          </w:tcPr>
          <w:p w:rsidR="00BE4D03" w:rsidRPr="000C0D0B" w:rsidRDefault="00BE4D03" w:rsidP="00BE4D03">
            <w:pPr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E4D03" w:rsidRPr="000C0D0B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E4D03" w:rsidRPr="002C3FB1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  <w:tc>
          <w:tcPr>
            <w:tcW w:w="1701" w:type="dxa"/>
            <w:tcBorders>
              <w:top w:val="nil"/>
              <w:bottom w:val="single" w:sz="4" w:space="0" w:color="auto"/>
            </w:tcBorders>
          </w:tcPr>
          <w:p w:rsidR="00BE4D03" w:rsidRPr="002C3FB1" w:rsidRDefault="00BE4D03" w:rsidP="00BE4D03">
            <w:pPr>
              <w:jc w:val="center"/>
              <w:rPr>
                <w:rFonts w:ascii="Noto Sans Light" w:hAnsi="Noto Sans Light" w:cs="Noto Sans Light"/>
                <w:sz w:val="16"/>
                <w:szCs w:val="16"/>
              </w:rPr>
            </w:pPr>
          </w:p>
        </w:tc>
      </w:tr>
    </w:tbl>
    <w:p w:rsidR="0065506D" w:rsidRPr="00E04AE9" w:rsidRDefault="0065506D" w:rsidP="00E04AE9"/>
    <w:sectPr w:rsidR="0065506D" w:rsidRPr="00E04AE9" w:rsidSect="00624FE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FE3" w:rsidRDefault="00624FE3" w:rsidP="00624FE3">
      <w:r>
        <w:separator/>
      </w:r>
    </w:p>
  </w:endnote>
  <w:endnote w:type="continuationSeparator" w:id="0">
    <w:p w:rsidR="00624FE3" w:rsidRDefault="00624FE3" w:rsidP="00624F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Light">
    <w:altName w:val="Sans Serif Collection"/>
    <w:charset w:val="00"/>
    <w:family w:val="swiss"/>
    <w:pitch w:val="variable"/>
    <w:sig w:usb0="E00002FF" w:usb1="4000201F" w:usb2="08000029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E8F" w:rsidRDefault="00006E8F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27201031"/>
      <w:docPartObj>
        <w:docPartGallery w:val="Page Numbers (Bottom of Page)"/>
        <w:docPartUnique/>
      </w:docPartObj>
    </w:sdtPr>
    <w:sdtEndPr/>
    <w:sdtContent>
      <w:p w:rsidR="00624FE3" w:rsidRDefault="00C8541A">
        <w:pPr>
          <w:pStyle w:val="Piedepgina"/>
          <w:jc w:val="right"/>
        </w:pPr>
        <w:r>
          <w:rPr>
            <w:noProof/>
            <w:lang w:eastAsia="es-MX"/>
          </w:rPr>
          <w:drawing>
            <wp:anchor distT="0" distB="0" distL="114300" distR="114300" simplePos="0" relativeHeight="251668480" behindDoc="1" locked="0" layoutInCell="1" allowOverlap="1" wp14:anchorId="387DFD6F" wp14:editId="54705E7E">
              <wp:simplePos x="0" y="0"/>
              <wp:positionH relativeFrom="column">
                <wp:posOffset>0</wp:posOffset>
              </wp:positionH>
              <wp:positionV relativeFrom="paragraph">
                <wp:posOffset>-635</wp:posOffset>
              </wp:positionV>
              <wp:extent cx="1809750" cy="1015908"/>
              <wp:effectExtent l="0" t="0" r="0" b="0"/>
              <wp:wrapNone/>
              <wp:docPr id="1" name="Imagen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 rotWithShape="1"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 l="18103" t="70609" r="63554" b="11084"/>
                      <a:stretch/>
                    </pic:blipFill>
                    <pic:spPr bwMode="auto">
                      <a:xfrm>
                        <a:off x="0" y="0"/>
                        <a:ext cx="1809750" cy="1015908"/>
                      </a:xfrm>
                      <a:prstGeom prst="rect">
                        <a:avLst/>
                      </a:prstGeom>
                      <a:ln>
                        <a:noFill/>
                      </a:ln>
                      <a:extLst>
                        <a:ext uri="{53640926-AAD7-44D8-BBD7-CCE9431645EC}">
                          <a14:shadowObscured xmlns:a14="http://schemas.microsoft.com/office/drawing/2010/main"/>
                        </a:ext>
                      </a:extLst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624FE3">
          <w:fldChar w:fldCharType="begin"/>
        </w:r>
        <w:r w:rsidR="00624FE3">
          <w:instrText>PAGE   \* MERGEFORMAT</w:instrText>
        </w:r>
        <w:r w:rsidR="00624FE3">
          <w:fldChar w:fldCharType="separate"/>
        </w:r>
        <w:r w:rsidR="000C0D0B" w:rsidRPr="000C0D0B">
          <w:rPr>
            <w:noProof/>
            <w:lang w:val="es-ES"/>
          </w:rPr>
          <w:t>7</w:t>
        </w:r>
        <w:r w:rsidR="00624FE3">
          <w:fldChar w:fldCharType="end"/>
        </w:r>
      </w:p>
      <w:p w:rsidR="00624FE3" w:rsidRDefault="00624FE3">
        <w:pPr>
          <w:pStyle w:val="Piedepgina"/>
          <w:jc w:val="right"/>
        </w:pPr>
        <w:r>
          <w:rPr>
            <w:noProof/>
            <w:lang w:eastAsia="es-MX"/>
          </w:rPr>
          <mc:AlternateContent>
            <mc:Choice Requires="wps">
              <w:drawing>
                <wp:anchor distT="45720" distB="45720" distL="114300" distR="114300" simplePos="0" relativeHeight="251666432" behindDoc="0" locked="0" layoutInCell="1" allowOverlap="1">
                  <wp:simplePos x="0" y="0"/>
                  <wp:positionH relativeFrom="margin">
                    <wp:posOffset>3383280</wp:posOffset>
                  </wp:positionH>
                  <wp:positionV relativeFrom="paragraph">
                    <wp:posOffset>48734</wp:posOffset>
                  </wp:positionV>
                  <wp:extent cx="2360930" cy="1404620"/>
                  <wp:effectExtent l="0" t="0" r="0" b="5080"/>
                  <wp:wrapSquare wrapText="bothSides"/>
                  <wp:docPr id="5" name="Cuadro de texto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>
                          <a:spLocks noChangeArrowheads="1"/>
                        </wps:cNvSpPr>
                        <wps:spPr bwMode="auto">
                          <a:xfrm>
                            <a:off x="0" y="0"/>
                            <a:ext cx="2360930" cy="14046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Vigente a partir del 1 de enero de 2026</w:t>
                              </w:r>
                            </w:p>
                            <w:p w:rsid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 w:rsidRPr="00624FE3"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Artículo 20 de la Ley General de Contabilidad Gubernamental</w:t>
                              </w:r>
                            </w:p>
                            <w:p w:rsidR="00624FE3" w:rsidRPr="00624FE3" w:rsidRDefault="00624FE3" w:rsidP="00624FE3">
                              <w:pPr>
                                <w:jc w:val="center"/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</w:pPr>
                              <w:r>
                                <w:rPr>
                                  <w:rFonts w:ascii="Noto Sans Light" w:hAnsi="Noto Sans Light" w:cs="Noto Sans Light"/>
                                  <w:sz w:val="18"/>
                                </w:rPr>
                                <w:t>Dirección de Contabilidad y Rendición de Cuentas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</a:graphicData>
                  </a:graphic>
                  <wp14:sizeRelH relativeFrom="margin">
                    <wp14:pctWidth>40000</wp14:pctWidth>
                  </wp14:sizeRelH>
                  <wp14:sizeRelV relativeFrom="margin">
                    <wp14:pctHeight>20000</wp14:pctHeight>
                  </wp14:sizeRelV>
                </wp:anchor>
              </w:drawing>
            </mc:Choice>
            <mc:Fallback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266.4pt;margin-top:3.85pt;width:185.9pt;height:110.6pt;z-index:251666432;visibility:visible;mso-wrap-style:square;mso-width-percent:400;mso-height-percent:200;mso-wrap-distance-left:9pt;mso-wrap-distance-top:3.6pt;mso-wrap-distance-right:9pt;mso-wrap-distance-bottom:3.6pt;mso-position-horizontal:absolute;mso-position-horizontal-relative:margin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TVBFAIAAAEEAAAOAAAAZHJzL2Uyb0RvYy54bWysU9uO2yAQfa/Uf0C8N3a8Sbqx4qy22aaq&#10;tL1I234AARyjAkOBxE6/vgPOZqP2raofEHiYM3POHFZ3g9HkKH1QYBs6nZSUSMtBKLtv6Pdv2ze3&#10;lITIrGAarGzoSQZ6t379atW7WlbQgRbSEwSxoe5dQ7sYXV0UgXfSsDABJy0GW/CGRTz6fSE86xHd&#10;6KIqy0XRgxfOA5ch4N+HMUjXGb9tJY9f2jbISHRDsbeYV5/XXVqL9YrVe89cp/i5DfYPXRimLBa9&#10;QD2wyMjBq7+gjOIeArRxwsEU0LaKy8wB2UzLP9g8dczJzAXFCe4iU/h/sPzz8asnSjR0TollBke0&#10;OTDhgQhJohwikCqJ1LtQ490nh7fj8A4GHHYmHNwj8B+BWNh0zO7lvffQd5IJbHKaMour1BEnJJBd&#10;/wkEVmOHCBloaL1JCqImBNFxWKfLgLAPwvFndbMolzcY4hibzsrZosojLFj9nO58iB8kGJI2DfXo&#10;gAzPjo8hpnZY/XwlVbOwVVpnF2hL+oYu59U8J1xFjIpoUq1MQ2/L9I22SSzfW5GTI1N63GMBbc+0&#10;E9ORcxx2Q5Y5a5Ik2YE4oQ4eRk/iG8JNB/4XJT36saHh54F5SYn+aFHL5XQ2SwbOh9n8LRIn/jqy&#10;u44wyxGqoZGScbuJ2fSJcnD3qPlWZTVeOjm3jD7LIp3fRDLy9Tnfenm5698AAAD//wMAUEsDBBQA&#10;BgAIAAAAIQBUPZyn3wAAAAkBAAAPAAAAZHJzL2Rvd25yZXYueG1sTI9LT8MwEITvSPwHa5G4UYeQ&#10;NG3IpkI8JI60BYmjG28ewl5HsduGf485wXE0o5lvqs1sjTjR5AfHCLeLBARx4/TAHcL7/uVmBcIH&#10;xVoZx4TwTR429eVFpUrtzryl0y50IpawLxVCH8JYSumbnqzyCzcSR691k1UhyqmTelLnWG6NTJNk&#10;Ka0aOC70aqTHnpqv3dEifPCneW0z3VORv2Xb8fmpzcMe8fpqfrgHEWgOf2H4xY/oUEemgzuy9sIg&#10;5HdpRA8IRQEi+uskW4I4IKTpag2yruT/B/UPAAAA//8DAFBLAQItABQABgAIAAAAIQC2gziS/gAA&#10;AOEBAAATAAAAAAAAAAAAAAAAAAAAAABbQ29udGVudF9UeXBlc10ueG1sUEsBAi0AFAAGAAgAAAAh&#10;ADj9If/WAAAAlAEAAAsAAAAAAAAAAAAAAAAALwEAAF9yZWxzLy5yZWxzUEsBAi0AFAAGAAgAAAAh&#10;AA0RNUEUAgAAAQQAAA4AAAAAAAAAAAAAAAAALgIAAGRycy9lMm9Eb2MueG1sUEsBAi0AFAAGAAgA&#10;AAAhAFQ9nKffAAAACQEAAA8AAAAAAAAAAAAAAAAAbgQAAGRycy9kb3ducmV2LnhtbFBLBQYAAAAA&#10;BAAEAPMAAAB6BQAAAAA=&#10;" filled="f" stroked="f">
                  <v:textbox style="mso-fit-shape-to-text:t">
                    <w:txbxContent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Vigente a partir del 1 de enero de 2026</w:t>
                        </w:r>
                      </w:p>
                      <w:p w:rsid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 w:rsidRPr="00624FE3">
                          <w:rPr>
                            <w:rFonts w:ascii="Noto Sans Light" w:hAnsi="Noto Sans Light" w:cs="Noto Sans Light"/>
                            <w:sz w:val="18"/>
                          </w:rPr>
                          <w:t>Artículo 20 de la Ley General de Contabilidad Gubernamental</w:t>
                        </w:r>
                      </w:p>
                      <w:p w:rsidR="00624FE3" w:rsidRPr="00624FE3" w:rsidRDefault="00624FE3" w:rsidP="00624FE3">
                        <w:pPr>
                          <w:jc w:val="center"/>
                          <w:rPr>
                            <w:rFonts w:ascii="Noto Sans Light" w:hAnsi="Noto Sans Light" w:cs="Noto Sans Light"/>
                            <w:sz w:val="18"/>
                          </w:rPr>
                        </w:pPr>
                        <w:r>
                          <w:rPr>
                            <w:rFonts w:ascii="Noto Sans Light" w:hAnsi="Noto Sans Light" w:cs="Noto Sans Light"/>
                            <w:sz w:val="18"/>
                          </w:rPr>
                          <w:t>Dirección de Contabilidad y Rendición de Cuentas</w:t>
                        </w:r>
                      </w:p>
                    </w:txbxContent>
                  </v:textbox>
                  <w10:wrap type="square" anchorx="margin"/>
                </v:shape>
              </w:pict>
            </mc:Fallback>
          </mc:AlternateContent>
        </w:r>
      </w:p>
      <w:p w:rsidR="00624FE3" w:rsidRDefault="000C0D0B">
        <w:pPr>
          <w:pStyle w:val="Piedepgina"/>
          <w:jc w:val="right"/>
        </w:pPr>
      </w:p>
    </w:sdtContent>
  </w:sdt>
  <w:p w:rsidR="00624FE3" w:rsidRDefault="00624FE3">
    <w:pPr>
      <w:pStyle w:val="Piedepgina"/>
    </w:pPr>
    <w:r>
      <w:rPr>
        <w:noProof/>
        <w:lang w:eastAsia="es-MX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4A516135" wp14:editId="2F0B1D60">
              <wp:simplePos x="0" y="0"/>
              <wp:positionH relativeFrom="column">
                <wp:posOffset>1658203</wp:posOffset>
              </wp:positionH>
              <wp:positionV relativeFrom="paragraph">
                <wp:posOffset>347439</wp:posOffset>
              </wp:positionV>
              <wp:extent cx="7499445" cy="95269"/>
              <wp:effectExtent l="0" t="0" r="25400" b="19050"/>
              <wp:wrapNone/>
              <wp:docPr id="4" name="Rectángulo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499445" cy="95269"/>
                      </a:xfrm>
                      <a:prstGeom prst="rect">
                        <a:avLst/>
                      </a:prstGeom>
                      <a:solidFill>
                        <a:srgbClr val="621333"/>
                      </a:solidFill>
                      <a:ln>
                        <a:solidFill>
                          <a:srgbClr val="621333"/>
                        </a:solidFill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D89B8AE" id="Rectángulo 4" o:spid="_x0000_s1026" style="position:absolute;margin-left:130.55pt;margin-top:27.35pt;width:590.5pt;height:7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beynAIAAK8FAAAOAAAAZHJzL2Uyb0RvYy54bWysVF9PGzEMf5+07xDlfVxbrrBWXFEFYpqE&#10;AAETz2kuaU/KxZmT9tp9m32WfbE5uT8whvaA1oc0ju2f7d/ZPjvf14btFPoKbMHHRyPOlJVQVnZd&#10;8G+PV58+c+aDsKUwYFXBD8rz88XHD2eNm6sJbMCUChmBWD9vXME3Ibh5lnm5UbXwR+CUJaUGrEUg&#10;EddZiaIh9Npkk9HoJGsAS4cglff0etkq+SLha61kuNXaq8BMwSm3kE5M5yqe2eJMzNco3KaSXRri&#10;HVnUorIUdIC6FEGwLVZ/QdWVRPCgw5GEOgOtK6lSDVTNePSqmoeNcCrVQuR4N9Dk/x+svNndIavK&#10;guecWVHTJ7on0n79tOutAZZHghrn52T34O6wkzxdY7V7jXX8pzrYPpF6GEhV+8AkPZ7ms1meTzmT&#10;pJtNJyeziJk9Ozv04YuCmsVLwZHCJyrF7tqH1rQ3ibE8mKq8qoxJAq5XFwbZTtD3PZmMj4+PO/Q/&#10;zIx9nydlGV2zyEBbc7qFg1ER0Nh7pYk8qnKSUk5tq4aEhJTKhnGr2ohStXlOR/Tr04yNHj0SJQkw&#10;Imuqb8DuAHrLFqTHbgnq7KOrSl0/OI/+lVjrPHikyGDD4FxXFvAtAENVdZFb+56klprI0grKA7UW&#10;Qjtz3smrij7wtfDhTiANGY0jLY5wS4c20BQcuhtnG8Afb71He+p90nLW0NAW3H/fClScma+WpmI2&#10;zvM45UnIp6cTEvClZvVSY7f1BVDfjGlFOZmu0T6Y/qoR6ifaL8sYlVTCSopdcBmwFy5Cu0xoQ0m1&#10;XCYzmmwnwrV9cDKCR1ZjAz/unwS6rssDjccN9AMu5q+avbWNnhaW2wC6SpPwzGvHN22F1DjdBotr&#10;56WcrJ737OI3AAAA//8DAFBLAwQUAAYACAAAACEAoq2AyuEAAAAKAQAADwAAAGRycy9kb3ducmV2&#10;LnhtbEyPwU6DQBCG7ya+w2ZMvNkFgrQiQ9No2osmxmpietuyI6DsLGG3gG/v9qTHmfnyz/cX69l0&#10;YqTBtZYR4kUEgriyuuUa4f1te7MC4bxirTrLhPBDDtbl5UWhcm0nfqVx72sRQtjlCqHxvs+ldFVD&#10;RrmF7YnD7dMORvkwDrXUg5pCuOlkEkWZNKrl8KFRPT00VH3vTwZhFb2MX5vH3fbJ+1363B3qg/uY&#10;EK+v5s09CE+z/4PhrB/UoQxOR3ti7USHkGRxHFCE23QJ4gykaRI2R4TsbgmyLOT/CuUvAAAA//8D&#10;AFBLAQItABQABgAIAAAAIQC2gziS/gAAAOEBAAATAAAAAAAAAAAAAAAAAAAAAABbQ29udGVudF9U&#10;eXBlc10ueG1sUEsBAi0AFAAGAAgAAAAhADj9If/WAAAAlAEAAAsAAAAAAAAAAAAAAAAALwEAAF9y&#10;ZWxzLy5yZWxzUEsBAi0AFAAGAAgAAAAhACgVt7KcAgAArwUAAA4AAAAAAAAAAAAAAAAALgIAAGRy&#10;cy9lMm9Eb2MueG1sUEsBAi0AFAAGAAgAAAAhAKKtgMrhAAAACgEAAA8AAAAAAAAAAAAAAAAA9gQA&#10;AGRycy9kb3ducmV2LnhtbFBLBQYAAAAABAAEAPMAAAAEBgAAAAA=&#10;" fillcolor="#621333" strokecolor="#621333" strokeweight="1pt"/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E8F" w:rsidRDefault="00006E8F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FE3" w:rsidRDefault="00624FE3" w:rsidP="00624FE3">
      <w:r>
        <w:separator/>
      </w:r>
    </w:p>
  </w:footnote>
  <w:footnote w:type="continuationSeparator" w:id="0">
    <w:p w:rsidR="00624FE3" w:rsidRDefault="00624FE3" w:rsidP="00624F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E8F" w:rsidRDefault="00006E8F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509F3" w:rsidRDefault="00C509F3">
    <w:pPr>
      <w:pStyle w:val="Encabezado"/>
    </w:pPr>
    <w:r>
      <w:rPr>
        <w:noProof/>
        <w:lang w:eastAsia="es-MX"/>
      </w:rPr>
      <w:drawing>
        <wp:anchor distT="0" distB="0" distL="0" distR="0" simplePos="0" relativeHeight="251659264" behindDoc="1" locked="0" layoutInCell="1" allowOverlap="1" wp14:anchorId="5EF3AF1A" wp14:editId="45916577">
          <wp:simplePos x="0" y="0"/>
          <wp:positionH relativeFrom="margin">
            <wp:align>center</wp:align>
          </wp:positionH>
          <wp:positionV relativeFrom="paragraph">
            <wp:posOffset>-380630</wp:posOffset>
          </wp:positionV>
          <wp:extent cx="9892030" cy="914400"/>
          <wp:effectExtent l="0" t="0" r="0" b="0"/>
          <wp:wrapNone/>
          <wp:docPr id="3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05" b="82507"/>
                  <a:stretch/>
                </pic:blipFill>
                <pic:spPr bwMode="auto">
                  <a:xfrm>
                    <a:off x="0" y="0"/>
                    <a:ext cx="9892030" cy="9144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C509F3" w:rsidRDefault="00C509F3">
    <w:pPr>
      <w:pStyle w:val="Encabezado"/>
    </w:pPr>
  </w:p>
  <w:p w:rsidR="00624FE3" w:rsidRDefault="00624FE3">
    <w:pPr>
      <w:pStyle w:val="Encabezado"/>
    </w:pPr>
    <w:r>
      <w:rPr>
        <w:noProof/>
        <w:lang w:eastAsia="es-MX"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>
              <wp:simplePos x="0" y="0"/>
              <wp:positionH relativeFrom="column">
                <wp:posOffset>3637100</wp:posOffset>
              </wp:positionH>
              <wp:positionV relativeFrom="paragraph">
                <wp:posOffset>-333366</wp:posOffset>
              </wp:positionV>
              <wp:extent cx="4135120" cy="1404620"/>
              <wp:effectExtent l="0" t="0" r="0" b="2540"/>
              <wp:wrapSquare wrapText="bothSides"/>
              <wp:docPr id="21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135120" cy="140462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Unidad de Administración y Finanza</w:t>
                          </w:r>
                        </w:p>
                        <w:p w:rsidR="00624FE3" w:rsidRPr="00C509F3" w:rsidRDefault="00624FE3" w:rsidP="00624FE3">
                          <w:pPr>
                            <w:jc w:val="right"/>
                            <w:rPr>
                              <w:rFonts w:ascii="Noto Sans Light" w:hAnsi="Noto Sans Light" w:cs="Noto Sans Light"/>
                              <w:sz w:val="20"/>
                            </w:rPr>
                          </w:pPr>
                          <w:r w:rsidRPr="00C509F3">
                            <w:rPr>
                              <w:rFonts w:ascii="Noto Sans Light" w:hAnsi="Noto Sans Light" w:cs="Noto Sans Light"/>
                              <w:sz w:val="20"/>
                            </w:rPr>
                            <w:t>Dirección General de Programación y Presupuesto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6" type="#_x0000_t202" style="position:absolute;margin-left:286.4pt;margin-top:-26.25pt;width:325.6pt;height:110.6pt;z-index:251661312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IitJQIAACUEAAAOAAAAZHJzL2Uyb0RvYy54bWysU9tu2zAMfR+wfxD0vjjOkl6MOEWXLsOA&#10;7gJ0+wBGkmNhsqhJSuzu60vJaZptb8P0IJAieUQeksuboTPsoHzQaGteTqacKStQarur+fdvmzdX&#10;nIUIVoJBq2r+qAK/Wb1+texdpWbYopHKMwKxoepdzdsYXVUUQbSqgzBBpywZG/QdRFL9rpAeekLv&#10;TDGbTi+KHr10HoUKgV7vRiNfZfymUSJ+aZqgIjM1p9xivn2+t+kuVkuodh5cq8UxDfiHLDrQlj49&#10;Qd1BBLb3+i+oTguPAZs4EdgV2DRaqFwDVVNO/6jmoQWnci1ETnAnmsL/gxWfD18907Lms/KSMwsd&#10;NWm9B+mRScWiGiKyWaKpd6Ei7wdH/nF4hwO1O5cc3D2KH4FZXLdgd+rWe+xbBZLSLFNkcRY64oQE&#10;su0/oaTfYB8xAw2N7xKHxAojdGrX46lFlAcT9Dgv3y7KGZkE2cr5dH5BSvoDqudw50P8oLBjSai5&#10;pxnI8HC4D3F0fXZJvwU0Wm60MVnxu+3aeHYAmpdNPkf039yMZX3NrxezRUa2mOIJGqpOR5pno7ua&#10;X03TSeFQJTreW5nlCNqMMiVt7JGfRMlIThy2Azkm0rYoH4kpj+Pc0p6R0KL/xVlPM1vz8HMPXnFm&#10;Plpi+7qcz9OQZ2W+uEw8+XPL9twCVhBUzSNno7iOeTEyD+6WurLRma+XTI650ixmxo97k4b9XM9e&#10;L9u9egIAAP//AwBQSwMEFAAGAAgAAAAhAIWPIB/gAAAADAEAAA8AAABkcnMvZG93bnJldi54bWxM&#10;j81OwzAQhO9IvIO1SNxaB4u0VYhTVVRcOCDRIsHRjTdxRPwj203D27M9wW1WM5r9pt7OdmQTxjR4&#10;J+FhWQBD13o9uF7Cx/FlsQGWsnJajd6hhB9MsG1ub2pVaX9x7zgdcs+oxKVKSTA5h4rz1Bq0Ki19&#10;QEde56NVmc7Ycx3VhcrtyEVRrLhVg6MPRgV8Nth+H85Wwqc1g97Ht69Oj9P+tduVYY5Byvu7efcE&#10;LOOc/8JwxSd0aIjp5M9OJzZKKNeC0LOERSlKYNeEEI8070RqtVkDb2r+f0TzCwAA//8DAFBLAQIt&#10;ABQABgAIAAAAIQC2gziS/gAAAOEBAAATAAAAAAAAAAAAAAAAAAAAAABbQ29udGVudF9UeXBlc10u&#10;eG1sUEsBAi0AFAAGAAgAAAAhADj9If/WAAAAlAEAAAsAAAAAAAAAAAAAAAAALwEAAF9yZWxzLy5y&#10;ZWxzUEsBAi0AFAAGAAgAAAAhAC/UiK0lAgAAJQQAAA4AAAAAAAAAAAAAAAAALgIAAGRycy9lMm9E&#10;b2MueG1sUEsBAi0AFAAGAAgAAAAhAIWPIB/gAAAADAEAAA8AAAAAAAAAAAAAAAAAfwQAAGRycy9k&#10;b3ducmV2LnhtbFBLBQYAAAAABAAEAPMAAACMBQAAAAA=&#10;" stroked="f">
              <v:textbox style="mso-fit-shape-to-text:t">
                <w:txbxContent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Unidad de Administración y Finanza</w:t>
                    </w:r>
                  </w:p>
                  <w:p w:rsidR="00624FE3" w:rsidRPr="00C509F3" w:rsidRDefault="00624FE3" w:rsidP="00624FE3">
                    <w:pPr>
                      <w:jc w:val="right"/>
                      <w:rPr>
                        <w:rFonts w:ascii="Noto Sans Light" w:hAnsi="Noto Sans Light" w:cs="Noto Sans Light"/>
                        <w:sz w:val="20"/>
                      </w:rPr>
                    </w:pPr>
                    <w:r w:rsidRPr="00C509F3">
                      <w:rPr>
                        <w:rFonts w:ascii="Noto Sans Light" w:hAnsi="Noto Sans Light" w:cs="Noto Sans Light"/>
                        <w:sz w:val="20"/>
                      </w:rPr>
                      <w:t>Dirección General de Programación y Presupuesto</w:t>
                    </w:r>
                  </w:p>
                </w:txbxContent>
              </v:textbox>
              <w10:wrap type="square"/>
            </v:shape>
          </w:pict>
        </mc:Fallback>
      </mc:AlternateContent>
    </w:r>
  </w:p>
  <w:p w:rsidR="00C509F3" w:rsidRDefault="00C509F3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MANUAL DE CONTABILIDAD GUBERNAMENTAL PARA LAS ENTIDADES PARAESTATALES SECTORIZADAS AL RAMO 12 </w:t>
    </w:r>
    <w:r w:rsidR="00E04AE9">
      <w:rPr>
        <w:rFonts w:ascii="Noto Sans Light" w:hAnsi="Noto Sans Light" w:cs="Noto Sans Light"/>
        <w:b/>
        <w:color w:val="FFFFFF" w:themeColor="background1"/>
        <w:szCs w:val="28"/>
      </w:rPr>
      <w:t>–</w:t>
    </w:r>
    <w:r w:rsidRPr="00C509F3">
      <w:rPr>
        <w:rFonts w:ascii="Noto Sans Light" w:hAnsi="Noto Sans Light" w:cs="Noto Sans Light"/>
        <w:b/>
        <w:color w:val="FFFFFF" w:themeColor="background1"/>
        <w:szCs w:val="28"/>
      </w:rPr>
      <w:t xml:space="preserve"> SALUD</w:t>
    </w:r>
  </w:p>
  <w:p w:rsidR="00E04AE9" w:rsidRPr="00C509F3" w:rsidRDefault="00E04AE9" w:rsidP="00C509F3"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621333"/>
      <w:jc w:val="center"/>
      <w:rPr>
        <w:rFonts w:ascii="Noto Sans Light" w:hAnsi="Noto Sans Light" w:cs="Noto Sans Light"/>
        <w:b/>
        <w:color w:val="FFFFFF" w:themeColor="background1"/>
        <w:szCs w:val="28"/>
      </w:rPr>
    </w:pPr>
    <w:r>
      <w:rPr>
        <w:rFonts w:ascii="Noto Sans Light" w:hAnsi="Noto Sans Light" w:cs="Noto Sans Light"/>
        <w:b/>
        <w:color w:val="FFFFFF" w:themeColor="background1"/>
        <w:szCs w:val="28"/>
      </w:rPr>
      <w:t xml:space="preserve">GUÍA CONTABILIZADORA </w:t>
    </w:r>
    <w:r w:rsidR="00006E8F">
      <w:rPr>
        <w:rFonts w:ascii="Noto Sans Light" w:hAnsi="Noto Sans Light" w:cs="Noto Sans Light"/>
        <w:b/>
        <w:color w:val="FFFFFF" w:themeColor="background1"/>
        <w:szCs w:val="28"/>
      </w:rPr>
      <w:t>30.- PATRIMONIO NACIONAL</w:t>
    </w:r>
  </w:p>
  <w:p w:rsidR="00624FE3" w:rsidRPr="00C509F3" w:rsidRDefault="00624FE3">
    <w:pPr>
      <w:pStyle w:val="Encabezado"/>
      <w:rPr>
        <w:sz w:val="8"/>
        <w:szCs w:val="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06E8F" w:rsidRDefault="00006E8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0101FB"/>
    <w:multiLevelType w:val="hybridMultilevel"/>
    <w:tmpl w:val="4DA8ABA6"/>
    <w:lvl w:ilvl="0" w:tplc="080A0017">
      <w:start w:val="1"/>
      <w:numFmt w:val="lowerLetter"/>
      <w:lvlText w:val="%1)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116C17A5"/>
    <w:multiLevelType w:val="hybridMultilevel"/>
    <w:tmpl w:val="98B0297C"/>
    <w:lvl w:ilvl="0" w:tplc="080A0015">
      <w:start w:val="1"/>
      <w:numFmt w:val="upperLetter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563454"/>
    <w:multiLevelType w:val="hybridMultilevel"/>
    <w:tmpl w:val="5212E44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C131C1"/>
    <w:multiLevelType w:val="hybridMultilevel"/>
    <w:tmpl w:val="33A24812"/>
    <w:lvl w:ilvl="0" w:tplc="080A0017">
      <w:start w:val="1"/>
      <w:numFmt w:val="lowerLetter"/>
      <w:lvlText w:val="%1)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23D423B3"/>
    <w:multiLevelType w:val="hybridMultilevel"/>
    <w:tmpl w:val="6FAECE2A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5E7360"/>
    <w:multiLevelType w:val="hybridMultilevel"/>
    <w:tmpl w:val="00669880"/>
    <w:lvl w:ilvl="0" w:tplc="080A0017">
      <w:start w:val="1"/>
      <w:numFmt w:val="lowerLetter"/>
      <w:lvlText w:val="%1)"/>
      <w:lvlJc w:val="left"/>
      <w:pPr>
        <w:ind w:left="502" w:hanging="360"/>
      </w:pPr>
    </w:lvl>
    <w:lvl w:ilvl="1" w:tplc="080A0019" w:tentative="1">
      <w:start w:val="1"/>
      <w:numFmt w:val="lowerLetter"/>
      <w:lvlText w:val="%2."/>
      <w:lvlJc w:val="left"/>
      <w:pPr>
        <w:ind w:left="1222" w:hanging="360"/>
      </w:pPr>
    </w:lvl>
    <w:lvl w:ilvl="2" w:tplc="080A001B" w:tentative="1">
      <w:start w:val="1"/>
      <w:numFmt w:val="lowerRoman"/>
      <w:lvlText w:val="%3."/>
      <w:lvlJc w:val="right"/>
      <w:pPr>
        <w:ind w:left="1942" w:hanging="180"/>
      </w:pPr>
    </w:lvl>
    <w:lvl w:ilvl="3" w:tplc="080A000F" w:tentative="1">
      <w:start w:val="1"/>
      <w:numFmt w:val="decimal"/>
      <w:lvlText w:val="%4."/>
      <w:lvlJc w:val="left"/>
      <w:pPr>
        <w:ind w:left="2662" w:hanging="360"/>
      </w:pPr>
    </w:lvl>
    <w:lvl w:ilvl="4" w:tplc="080A0019" w:tentative="1">
      <w:start w:val="1"/>
      <w:numFmt w:val="lowerLetter"/>
      <w:lvlText w:val="%5."/>
      <w:lvlJc w:val="left"/>
      <w:pPr>
        <w:ind w:left="3382" w:hanging="360"/>
      </w:pPr>
    </w:lvl>
    <w:lvl w:ilvl="5" w:tplc="080A001B" w:tentative="1">
      <w:start w:val="1"/>
      <w:numFmt w:val="lowerRoman"/>
      <w:lvlText w:val="%6."/>
      <w:lvlJc w:val="right"/>
      <w:pPr>
        <w:ind w:left="4102" w:hanging="180"/>
      </w:pPr>
    </w:lvl>
    <w:lvl w:ilvl="6" w:tplc="080A000F" w:tentative="1">
      <w:start w:val="1"/>
      <w:numFmt w:val="decimal"/>
      <w:lvlText w:val="%7."/>
      <w:lvlJc w:val="left"/>
      <w:pPr>
        <w:ind w:left="4822" w:hanging="360"/>
      </w:pPr>
    </w:lvl>
    <w:lvl w:ilvl="7" w:tplc="080A0019" w:tentative="1">
      <w:start w:val="1"/>
      <w:numFmt w:val="lowerLetter"/>
      <w:lvlText w:val="%8."/>
      <w:lvlJc w:val="left"/>
      <w:pPr>
        <w:ind w:left="5542" w:hanging="360"/>
      </w:pPr>
    </w:lvl>
    <w:lvl w:ilvl="8" w:tplc="080A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435A1B63"/>
    <w:multiLevelType w:val="hybridMultilevel"/>
    <w:tmpl w:val="756E5966"/>
    <w:lvl w:ilvl="0" w:tplc="8F1490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E049C3"/>
    <w:multiLevelType w:val="hybridMultilevel"/>
    <w:tmpl w:val="0456C7C8"/>
    <w:lvl w:ilvl="0" w:tplc="080A000D">
      <w:start w:val="1"/>
      <w:numFmt w:val="bullet"/>
      <w:lvlText w:val=""/>
      <w:lvlJc w:val="left"/>
      <w:pPr>
        <w:ind w:left="14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CA5113A"/>
    <w:multiLevelType w:val="hybridMultilevel"/>
    <w:tmpl w:val="3D507F30"/>
    <w:lvl w:ilvl="0" w:tplc="080A0017">
      <w:start w:val="1"/>
      <w:numFmt w:val="lowerLetter"/>
      <w:lvlText w:val="%1)"/>
      <w:lvlJc w:val="left"/>
      <w:pPr>
        <w:ind w:left="417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37" w:hanging="360"/>
      </w:pPr>
    </w:lvl>
    <w:lvl w:ilvl="2" w:tplc="080A001B" w:tentative="1">
      <w:start w:val="1"/>
      <w:numFmt w:val="lowerRoman"/>
      <w:lvlText w:val="%3."/>
      <w:lvlJc w:val="right"/>
      <w:pPr>
        <w:ind w:left="1857" w:hanging="180"/>
      </w:pPr>
    </w:lvl>
    <w:lvl w:ilvl="3" w:tplc="080A000F" w:tentative="1">
      <w:start w:val="1"/>
      <w:numFmt w:val="decimal"/>
      <w:lvlText w:val="%4."/>
      <w:lvlJc w:val="left"/>
      <w:pPr>
        <w:ind w:left="2577" w:hanging="360"/>
      </w:pPr>
    </w:lvl>
    <w:lvl w:ilvl="4" w:tplc="080A0019" w:tentative="1">
      <w:start w:val="1"/>
      <w:numFmt w:val="lowerLetter"/>
      <w:lvlText w:val="%5."/>
      <w:lvlJc w:val="left"/>
      <w:pPr>
        <w:ind w:left="3297" w:hanging="360"/>
      </w:pPr>
    </w:lvl>
    <w:lvl w:ilvl="5" w:tplc="080A001B" w:tentative="1">
      <w:start w:val="1"/>
      <w:numFmt w:val="lowerRoman"/>
      <w:lvlText w:val="%6."/>
      <w:lvlJc w:val="right"/>
      <w:pPr>
        <w:ind w:left="4017" w:hanging="180"/>
      </w:pPr>
    </w:lvl>
    <w:lvl w:ilvl="6" w:tplc="080A000F" w:tentative="1">
      <w:start w:val="1"/>
      <w:numFmt w:val="decimal"/>
      <w:lvlText w:val="%7."/>
      <w:lvlJc w:val="left"/>
      <w:pPr>
        <w:ind w:left="4737" w:hanging="360"/>
      </w:pPr>
    </w:lvl>
    <w:lvl w:ilvl="7" w:tplc="080A0019" w:tentative="1">
      <w:start w:val="1"/>
      <w:numFmt w:val="lowerLetter"/>
      <w:lvlText w:val="%8."/>
      <w:lvlJc w:val="left"/>
      <w:pPr>
        <w:ind w:left="5457" w:hanging="360"/>
      </w:pPr>
    </w:lvl>
    <w:lvl w:ilvl="8" w:tplc="080A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" w15:restartNumberingAfterBreak="0">
    <w:nsid w:val="560D0AB2"/>
    <w:multiLevelType w:val="hybridMultilevel"/>
    <w:tmpl w:val="B9941C56"/>
    <w:lvl w:ilvl="0" w:tplc="080A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10" w15:restartNumberingAfterBreak="0">
    <w:nsid w:val="5CCA70DD"/>
    <w:multiLevelType w:val="hybridMultilevel"/>
    <w:tmpl w:val="3D507F30"/>
    <w:lvl w:ilvl="0" w:tplc="080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137" w:hanging="360"/>
      </w:pPr>
    </w:lvl>
    <w:lvl w:ilvl="2" w:tplc="080A001B" w:tentative="1">
      <w:start w:val="1"/>
      <w:numFmt w:val="lowerRoman"/>
      <w:lvlText w:val="%3."/>
      <w:lvlJc w:val="right"/>
      <w:pPr>
        <w:ind w:left="1857" w:hanging="180"/>
      </w:pPr>
    </w:lvl>
    <w:lvl w:ilvl="3" w:tplc="080A000F" w:tentative="1">
      <w:start w:val="1"/>
      <w:numFmt w:val="decimal"/>
      <w:lvlText w:val="%4."/>
      <w:lvlJc w:val="left"/>
      <w:pPr>
        <w:ind w:left="2577" w:hanging="360"/>
      </w:pPr>
    </w:lvl>
    <w:lvl w:ilvl="4" w:tplc="080A0019" w:tentative="1">
      <w:start w:val="1"/>
      <w:numFmt w:val="lowerLetter"/>
      <w:lvlText w:val="%5."/>
      <w:lvlJc w:val="left"/>
      <w:pPr>
        <w:ind w:left="3297" w:hanging="360"/>
      </w:pPr>
    </w:lvl>
    <w:lvl w:ilvl="5" w:tplc="080A001B" w:tentative="1">
      <w:start w:val="1"/>
      <w:numFmt w:val="lowerRoman"/>
      <w:lvlText w:val="%6."/>
      <w:lvlJc w:val="right"/>
      <w:pPr>
        <w:ind w:left="4017" w:hanging="180"/>
      </w:pPr>
    </w:lvl>
    <w:lvl w:ilvl="6" w:tplc="080A000F" w:tentative="1">
      <w:start w:val="1"/>
      <w:numFmt w:val="decimal"/>
      <w:lvlText w:val="%7."/>
      <w:lvlJc w:val="left"/>
      <w:pPr>
        <w:ind w:left="4737" w:hanging="360"/>
      </w:pPr>
    </w:lvl>
    <w:lvl w:ilvl="7" w:tplc="080A0019" w:tentative="1">
      <w:start w:val="1"/>
      <w:numFmt w:val="lowerLetter"/>
      <w:lvlText w:val="%8."/>
      <w:lvlJc w:val="left"/>
      <w:pPr>
        <w:ind w:left="5457" w:hanging="360"/>
      </w:pPr>
    </w:lvl>
    <w:lvl w:ilvl="8" w:tplc="080A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11" w15:restartNumberingAfterBreak="0">
    <w:nsid w:val="5D990901"/>
    <w:multiLevelType w:val="hybridMultilevel"/>
    <w:tmpl w:val="62CCB0C8"/>
    <w:lvl w:ilvl="0" w:tplc="DE004D1E">
      <w:start w:val="1"/>
      <w:numFmt w:val="bullet"/>
      <w:lvlText w:val="•"/>
      <w:lvlJc w:val="left"/>
      <w:pPr>
        <w:ind w:left="1065" w:hanging="705"/>
      </w:pPr>
      <w:rPr>
        <w:rFonts w:ascii="Noto Sans Light" w:eastAsia="Times New Roman" w:hAnsi="Noto Sans Light" w:cs="Noto Sans Light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21778A"/>
    <w:multiLevelType w:val="hybridMultilevel"/>
    <w:tmpl w:val="9728609C"/>
    <w:lvl w:ilvl="0" w:tplc="080A000D">
      <w:start w:val="1"/>
      <w:numFmt w:val="bullet"/>
      <w:lvlText w:val=""/>
      <w:lvlJc w:val="left"/>
      <w:pPr>
        <w:ind w:left="777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1"/>
  </w:num>
  <w:num w:numId="3">
    <w:abstractNumId w:val="1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3"/>
  </w:num>
  <w:num w:numId="9">
    <w:abstractNumId w:val="8"/>
  </w:num>
  <w:num w:numId="10">
    <w:abstractNumId w:val="9"/>
  </w:num>
  <w:num w:numId="11">
    <w:abstractNumId w:val="7"/>
  </w:num>
  <w:num w:numId="12">
    <w:abstractNumId w:val="12"/>
  </w:num>
  <w:num w:numId="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4FE3"/>
    <w:rsid w:val="000005BF"/>
    <w:rsid w:val="00006E8F"/>
    <w:rsid w:val="00010A86"/>
    <w:rsid w:val="00012F2B"/>
    <w:rsid w:val="000137BA"/>
    <w:rsid w:val="00014A58"/>
    <w:rsid w:val="000208A4"/>
    <w:rsid w:val="00052C8F"/>
    <w:rsid w:val="000903B8"/>
    <w:rsid w:val="00091142"/>
    <w:rsid w:val="00093FBA"/>
    <w:rsid w:val="00097DA4"/>
    <w:rsid w:val="000C0D0B"/>
    <w:rsid w:val="000C15E6"/>
    <w:rsid w:val="000E1A72"/>
    <w:rsid w:val="0010168E"/>
    <w:rsid w:val="0010569B"/>
    <w:rsid w:val="001260F2"/>
    <w:rsid w:val="00164297"/>
    <w:rsid w:val="0018128A"/>
    <w:rsid w:val="0018155A"/>
    <w:rsid w:val="001A306E"/>
    <w:rsid w:val="001B2C0F"/>
    <w:rsid w:val="001C2549"/>
    <w:rsid w:val="001D31DA"/>
    <w:rsid w:val="001E62B4"/>
    <w:rsid w:val="00226261"/>
    <w:rsid w:val="00247684"/>
    <w:rsid w:val="002546CC"/>
    <w:rsid w:val="002720D2"/>
    <w:rsid w:val="00285261"/>
    <w:rsid w:val="002A201B"/>
    <w:rsid w:val="002A36F7"/>
    <w:rsid w:val="002B3DDD"/>
    <w:rsid w:val="002C3FB1"/>
    <w:rsid w:val="002F1902"/>
    <w:rsid w:val="002F55B4"/>
    <w:rsid w:val="00301A58"/>
    <w:rsid w:val="0030673D"/>
    <w:rsid w:val="00330A4A"/>
    <w:rsid w:val="00365B66"/>
    <w:rsid w:val="00396C60"/>
    <w:rsid w:val="003A7E9F"/>
    <w:rsid w:val="003B4FF3"/>
    <w:rsid w:val="003E0706"/>
    <w:rsid w:val="003E61D3"/>
    <w:rsid w:val="003F6F0E"/>
    <w:rsid w:val="004000E7"/>
    <w:rsid w:val="00426CA8"/>
    <w:rsid w:val="004272EB"/>
    <w:rsid w:val="0046128E"/>
    <w:rsid w:val="004639B8"/>
    <w:rsid w:val="00476639"/>
    <w:rsid w:val="0048009B"/>
    <w:rsid w:val="004A226B"/>
    <w:rsid w:val="004A2881"/>
    <w:rsid w:val="004C76FB"/>
    <w:rsid w:val="004D341D"/>
    <w:rsid w:val="005064C5"/>
    <w:rsid w:val="00536C38"/>
    <w:rsid w:val="00553BE5"/>
    <w:rsid w:val="00572B74"/>
    <w:rsid w:val="00573698"/>
    <w:rsid w:val="005833A7"/>
    <w:rsid w:val="0058639E"/>
    <w:rsid w:val="00590118"/>
    <w:rsid w:val="005A5D0A"/>
    <w:rsid w:val="005B7E46"/>
    <w:rsid w:val="005C458E"/>
    <w:rsid w:val="005D1492"/>
    <w:rsid w:val="005D7A15"/>
    <w:rsid w:val="005F7ED4"/>
    <w:rsid w:val="006003E8"/>
    <w:rsid w:val="00611D27"/>
    <w:rsid w:val="00624FE3"/>
    <w:rsid w:val="0063086C"/>
    <w:rsid w:val="0065506D"/>
    <w:rsid w:val="00685714"/>
    <w:rsid w:val="00691551"/>
    <w:rsid w:val="006A246D"/>
    <w:rsid w:val="006A388A"/>
    <w:rsid w:val="006C35CF"/>
    <w:rsid w:val="006C41AE"/>
    <w:rsid w:val="006C6EC0"/>
    <w:rsid w:val="006D41F6"/>
    <w:rsid w:val="006E4ACE"/>
    <w:rsid w:val="007118C9"/>
    <w:rsid w:val="00731909"/>
    <w:rsid w:val="00755726"/>
    <w:rsid w:val="00781666"/>
    <w:rsid w:val="00790FFE"/>
    <w:rsid w:val="007B33A3"/>
    <w:rsid w:val="007C6F6A"/>
    <w:rsid w:val="007C76CC"/>
    <w:rsid w:val="0080056A"/>
    <w:rsid w:val="008106AC"/>
    <w:rsid w:val="00831B2C"/>
    <w:rsid w:val="008320E6"/>
    <w:rsid w:val="00833377"/>
    <w:rsid w:val="00845990"/>
    <w:rsid w:val="00860815"/>
    <w:rsid w:val="008631D9"/>
    <w:rsid w:val="008722FB"/>
    <w:rsid w:val="0087524B"/>
    <w:rsid w:val="00891EAE"/>
    <w:rsid w:val="008944A3"/>
    <w:rsid w:val="008A1256"/>
    <w:rsid w:val="008C6E6B"/>
    <w:rsid w:val="008D11BE"/>
    <w:rsid w:val="008D5C91"/>
    <w:rsid w:val="008F2422"/>
    <w:rsid w:val="00913B02"/>
    <w:rsid w:val="00926355"/>
    <w:rsid w:val="00927273"/>
    <w:rsid w:val="009341F4"/>
    <w:rsid w:val="00935D79"/>
    <w:rsid w:val="00943E56"/>
    <w:rsid w:val="009558A6"/>
    <w:rsid w:val="009566CA"/>
    <w:rsid w:val="0096694D"/>
    <w:rsid w:val="00971792"/>
    <w:rsid w:val="00992B6B"/>
    <w:rsid w:val="009A2B15"/>
    <w:rsid w:val="009B3145"/>
    <w:rsid w:val="009C417C"/>
    <w:rsid w:val="009C4FFD"/>
    <w:rsid w:val="009D1813"/>
    <w:rsid w:val="009E2258"/>
    <w:rsid w:val="009F2A72"/>
    <w:rsid w:val="009F36CB"/>
    <w:rsid w:val="00A269E9"/>
    <w:rsid w:val="00A51C47"/>
    <w:rsid w:val="00A94492"/>
    <w:rsid w:val="00AB706E"/>
    <w:rsid w:val="00AD6946"/>
    <w:rsid w:val="00B02900"/>
    <w:rsid w:val="00B03ECA"/>
    <w:rsid w:val="00B05FD0"/>
    <w:rsid w:val="00B20190"/>
    <w:rsid w:val="00B35F84"/>
    <w:rsid w:val="00B36DE0"/>
    <w:rsid w:val="00B44B19"/>
    <w:rsid w:val="00B572F3"/>
    <w:rsid w:val="00B74DA8"/>
    <w:rsid w:val="00B76796"/>
    <w:rsid w:val="00B9789A"/>
    <w:rsid w:val="00BA091A"/>
    <w:rsid w:val="00BC1CCB"/>
    <w:rsid w:val="00BC3E4C"/>
    <w:rsid w:val="00BD3D03"/>
    <w:rsid w:val="00BD4348"/>
    <w:rsid w:val="00BE40F4"/>
    <w:rsid w:val="00BE4D03"/>
    <w:rsid w:val="00C01644"/>
    <w:rsid w:val="00C121F2"/>
    <w:rsid w:val="00C40B31"/>
    <w:rsid w:val="00C47572"/>
    <w:rsid w:val="00C509F3"/>
    <w:rsid w:val="00C56418"/>
    <w:rsid w:val="00C650B0"/>
    <w:rsid w:val="00C6591F"/>
    <w:rsid w:val="00C8541A"/>
    <w:rsid w:val="00C856E8"/>
    <w:rsid w:val="00C92339"/>
    <w:rsid w:val="00CA1419"/>
    <w:rsid w:val="00CA17AB"/>
    <w:rsid w:val="00CD2710"/>
    <w:rsid w:val="00CD5CF0"/>
    <w:rsid w:val="00CD7B44"/>
    <w:rsid w:val="00D111A3"/>
    <w:rsid w:val="00D17E97"/>
    <w:rsid w:val="00D223E5"/>
    <w:rsid w:val="00D33C69"/>
    <w:rsid w:val="00D44447"/>
    <w:rsid w:val="00D47700"/>
    <w:rsid w:val="00D5066A"/>
    <w:rsid w:val="00D62CAC"/>
    <w:rsid w:val="00D940F3"/>
    <w:rsid w:val="00D96979"/>
    <w:rsid w:val="00DA3CD8"/>
    <w:rsid w:val="00DB38F1"/>
    <w:rsid w:val="00DB69F6"/>
    <w:rsid w:val="00DC1E96"/>
    <w:rsid w:val="00DC6966"/>
    <w:rsid w:val="00DC72AB"/>
    <w:rsid w:val="00DE0249"/>
    <w:rsid w:val="00DE62E1"/>
    <w:rsid w:val="00E04AE9"/>
    <w:rsid w:val="00E11C74"/>
    <w:rsid w:val="00E21A20"/>
    <w:rsid w:val="00E3317C"/>
    <w:rsid w:val="00E4293D"/>
    <w:rsid w:val="00E57037"/>
    <w:rsid w:val="00E61589"/>
    <w:rsid w:val="00E8488E"/>
    <w:rsid w:val="00E85F14"/>
    <w:rsid w:val="00EA6565"/>
    <w:rsid w:val="00EB0AEA"/>
    <w:rsid w:val="00EC20A7"/>
    <w:rsid w:val="00ED00B1"/>
    <w:rsid w:val="00EE767A"/>
    <w:rsid w:val="00EF1AEE"/>
    <w:rsid w:val="00F073D4"/>
    <w:rsid w:val="00F10B52"/>
    <w:rsid w:val="00F27EFE"/>
    <w:rsid w:val="00F53631"/>
    <w:rsid w:val="00F5731C"/>
    <w:rsid w:val="00F74273"/>
    <w:rsid w:val="00F935A3"/>
    <w:rsid w:val="00F961F7"/>
    <w:rsid w:val="00FA2FFA"/>
    <w:rsid w:val="00FB04A9"/>
    <w:rsid w:val="00FB0E6F"/>
    <w:rsid w:val="00FF5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."/>
  <w:listSeparator w:val=","/>
  <w14:docId w14:val="0A05C6AE"/>
  <w15:chartTrackingRefBased/>
  <w15:docId w15:val="{6E54F6F2-B904-40A0-9525-B564B910CF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30A4A"/>
    <w:pPr>
      <w:spacing w:after="0" w:line="240" w:lineRule="auto"/>
    </w:pPr>
    <w:rPr>
      <w:rFonts w:ascii="Verdana" w:eastAsia="Times New Roman" w:hAnsi="Verdana" w:cs="Arial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624FE3"/>
  </w:style>
  <w:style w:type="paragraph" w:styleId="Piedepgina">
    <w:name w:val="footer"/>
    <w:basedOn w:val="Normal"/>
    <w:link w:val="PiedepginaCar"/>
    <w:uiPriority w:val="99"/>
    <w:unhideWhenUsed/>
    <w:rsid w:val="00624FE3"/>
    <w:pPr>
      <w:tabs>
        <w:tab w:val="center" w:pos="4419"/>
        <w:tab w:val="right" w:pos="8838"/>
      </w:tabs>
    </w:pPr>
    <w:rPr>
      <w:rFonts w:asciiTheme="minorHAnsi" w:eastAsiaTheme="minorHAnsi" w:hAnsiTheme="minorHAnsi" w:cstheme="minorBidi"/>
      <w:szCs w:val="22"/>
      <w:lang w:val="es-MX"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624FE3"/>
  </w:style>
  <w:style w:type="paragraph" w:styleId="Prrafodelista">
    <w:name w:val="List Paragraph"/>
    <w:basedOn w:val="Normal"/>
    <w:uiPriority w:val="34"/>
    <w:qFormat/>
    <w:rsid w:val="00D223E5"/>
    <w:pPr>
      <w:ind w:left="720"/>
      <w:contextualSpacing/>
    </w:pPr>
  </w:style>
  <w:style w:type="paragraph" w:styleId="Ttulo">
    <w:name w:val="Title"/>
    <w:basedOn w:val="Normal"/>
    <w:next w:val="Normal"/>
    <w:link w:val="TtuloCar"/>
    <w:uiPriority w:val="10"/>
    <w:qFormat/>
    <w:rsid w:val="005D7A15"/>
    <w:pPr>
      <w:pBdr>
        <w:bottom w:val="single" w:sz="8" w:space="4" w:color="4F81BD"/>
      </w:pBdr>
      <w:spacing w:after="300"/>
      <w:contextualSpacing/>
    </w:pPr>
    <w:rPr>
      <w:rFonts w:ascii="Cambria" w:hAnsi="Cambria" w:cs="Times New Roman"/>
      <w:color w:val="17365D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5D7A15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s-ES" w:eastAsia="es-ES"/>
    </w:rPr>
  </w:style>
  <w:style w:type="table" w:styleId="Tablaconcuadrcula">
    <w:name w:val="Table Grid"/>
    <w:basedOn w:val="Tablanormal"/>
    <w:uiPriority w:val="39"/>
    <w:rsid w:val="005D7A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6C41AE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6C41AE"/>
    <w:rPr>
      <w:sz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6C41AE"/>
    <w:rPr>
      <w:rFonts w:ascii="Verdana" w:eastAsia="Times New Roman" w:hAnsi="Verdana" w:cs="Arial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6C41AE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6C41AE"/>
    <w:rPr>
      <w:rFonts w:ascii="Verdana" w:eastAsia="Times New Roman" w:hAnsi="Verdana" w:cs="Arial"/>
      <w:b/>
      <w:bCs/>
      <w:sz w:val="20"/>
      <w:szCs w:val="20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C41AE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C41AE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9DAF3D-2DBF-4615-BF9E-7F9E14F74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8</Pages>
  <Words>608</Words>
  <Characters>3347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Jenifer Carbajal Gómez</dc:creator>
  <cp:keywords/>
  <dc:description/>
  <cp:lastModifiedBy>Miguel Angel Cortes Rodriguez</cp:lastModifiedBy>
  <cp:revision>13</cp:revision>
  <dcterms:created xsi:type="dcterms:W3CDTF">2026-01-08T00:10:00Z</dcterms:created>
  <dcterms:modified xsi:type="dcterms:W3CDTF">2026-01-12T19:39:00Z</dcterms:modified>
</cp:coreProperties>
</file>